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F789" w14:textId="3320E694" w:rsidR="00F84131" w:rsidRDefault="00F84131" w:rsidP="00074ECE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Газета «</w:t>
      </w:r>
      <w:r w:rsidR="00907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Медицина для Вас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»</w:t>
      </w:r>
      <w:r w:rsidR="00907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№ 05 от 19.07.2023г</w:t>
      </w:r>
      <w:bookmarkStart w:id="0" w:name="_GoBack"/>
      <w:bookmarkEnd w:id="0"/>
    </w:p>
    <w:p w14:paraId="735139FA" w14:textId="77777777" w:rsidR="00F84131" w:rsidRDefault="00F84131" w:rsidP="00074ECE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62553F32" w14:textId="79B9CE67" w:rsidR="00074ECE" w:rsidRPr="00CA6923" w:rsidRDefault="0035068B" w:rsidP="00074ECE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</w:t>
      </w:r>
      <w:r w:rsidR="00074ECE" w:rsidRPr="00CA69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Лямблиоз. Клиника, </w:t>
      </w:r>
      <w:r w:rsidR="00CA6923" w:rsidRPr="00CA69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лечение и </w:t>
      </w:r>
      <w:r w:rsidR="00074ECE" w:rsidRPr="00CA69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</w:t>
      </w:r>
    </w:p>
    <w:p w14:paraId="2DE37C7B" w14:textId="77777777" w:rsidR="00716070" w:rsidRPr="00CA6923" w:rsidRDefault="00716070" w:rsidP="0071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681F76" w14:textId="20062C67" w:rsidR="005A64C1" w:rsidRPr="00CA6923" w:rsidRDefault="002F6ACA" w:rsidP="0035068B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A6923">
        <w:rPr>
          <w:color w:val="000000" w:themeColor="text1"/>
          <w:sz w:val="28"/>
          <w:szCs w:val="28"/>
        </w:rPr>
        <w:t>Лямблиоз</w:t>
      </w:r>
      <w:r w:rsidR="00654FA5" w:rsidRPr="00CA6923">
        <w:rPr>
          <w:color w:val="000000" w:themeColor="text1"/>
          <w:sz w:val="28"/>
          <w:szCs w:val="28"/>
        </w:rPr>
        <w:t xml:space="preserve"> (жиардиаз)</w:t>
      </w:r>
      <w:r w:rsidRPr="00CA6923">
        <w:rPr>
          <w:color w:val="000000" w:themeColor="text1"/>
          <w:sz w:val="28"/>
          <w:szCs w:val="28"/>
        </w:rPr>
        <w:t xml:space="preserve"> представляет собой достаточно распространенное инфекционное заболевание, которое вызывается простейшими – кишечными лямблиями. </w:t>
      </w:r>
    </w:p>
    <w:p w14:paraId="1B2BDFB4" w14:textId="05342427" w:rsidR="00483861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Возбудитель жиардиаза – лямблия – представляет собой паразита из типа простейших. Они пребывают в одной из двух своих основных форм:</w:t>
      </w:r>
    </w:p>
    <w:p w14:paraId="0BFCC369" w14:textId="7C1D9432" w:rsidR="005550E9" w:rsidRPr="00CA6923" w:rsidRDefault="00483861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вегетативная форма, в которой они чаще всего колонизируют просвет кишечника человека, они подвижны, могут перемещаться в пространстве, размножаться делением;</w:t>
      </w:r>
    </w:p>
    <w:p w14:paraId="7AE1500F" w14:textId="397361C5" w:rsidR="005550E9" w:rsidRPr="00CA6923" w:rsidRDefault="00483861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цист – это своеобразная защитная форма, в которой они находятся вне организма человека: в почве, водоеме. Цисты неподвижны, не делятся, однако в этой форме лямблии могут длительно оставаться в живых.</w:t>
      </w:r>
    </w:p>
    <w:p w14:paraId="3105EA2C" w14:textId="77777777" w:rsidR="005D7FF4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этой инфекцией происходит при употреблении внутрь пищи или воды, содержащих цисты лямблий. Туда они попадают после контакта с больным человеком, выделяющим их с фекалиями</w:t>
      </w:r>
      <w:r w:rsidR="00DE6656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3861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B16D2E" w14:textId="15CB3D93" w:rsidR="00483861" w:rsidRPr="00CA6923" w:rsidRDefault="00DE6656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пути передачи 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фекально-оральный путь, контактно бытовой.</w:t>
      </w:r>
    </w:p>
    <w:p w14:paraId="30C94324" w14:textId="45AB545A" w:rsidR="005550E9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факторам риска относят скученность населения, проживающего в одном небольшом по площади жилье, плохую осведомленность об элементарных санитарно-гигиенических нормах. По этой причине заболевание лямблиоз очень распространено среди детей, посещающих детские сады и школы</w:t>
      </w:r>
      <w:r w:rsidR="00DE6656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4FA5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Лямблиоз у женщин и мужчин встречается примерно одинаково часто.</w:t>
      </w:r>
    </w:p>
    <w:p w14:paraId="58A51C72" w14:textId="77777777" w:rsidR="005D7FF4" w:rsidRPr="00CA6923" w:rsidRDefault="005550E9" w:rsidP="0035068B">
      <w:pPr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лямблиоза</w:t>
      </w:r>
    </w:p>
    <w:p w14:paraId="137A181D" w14:textId="4C187251" w:rsidR="00DE6656" w:rsidRPr="00CA6923" w:rsidRDefault="005550E9" w:rsidP="0035068B">
      <w:pPr>
        <w:spacing w:after="15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 как человек проглотил зараженные цистами лямблий пищевые продукты или воду, они попадают в просвет </w:t>
      </w:r>
      <w:r w:rsidR="005D7FF4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тонкого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киш</w:t>
      </w:r>
      <w:r w:rsidR="005D7FF4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ечника,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превращаются в вегетативные формы, то есть активные, </w:t>
      </w:r>
      <w:r w:rsidR="005D7FF4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пособные нарушать работу ворсинок эпителия кишечника и размножаться. С этого момента начинается клиническая картина самого заболевания лямблиоза.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зависимости от выраженности симптомов и локализации патологического процесса, который вызывают эти паразиты, выделяют следующие формы заболевания:</w:t>
      </w:r>
      <w:r w:rsidR="00DE6656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E6656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1F308FF3" w14:textId="77777777" w:rsidR="00DE6656" w:rsidRPr="00CA6923" w:rsidRDefault="00DE6656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кишечная форма сопровождается симптомами повреждения слизистой оболочки 12-типерстной кишки (</w:t>
      </w:r>
      <w:hyperlink r:id="rId6" w:history="1">
        <w:r w:rsidR="005550E9"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дуоденит</w:t>
        </w:r>
      </w:hyperlink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тонкой кишки (энтерит), желудка (</w:t>
      </w:r>
      <w:hyperlink r:id="rId7" w:history="1">
        <w:r w:rsidR="005550E9"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гастрит</w:t>
        </w:r>
      </w:hyperlink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одновременно нескольких локализаций;</w:t>
      </w:r>
    </w:p>
    <w:p w14:paraId="53BCB4B3" w14:textId="4AA75792" w:rsidR="00DE6656" w:rsidRPr="00CA6923" w:rsidRDefault="00DE6656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с поражением желчного пузыря, желчевыводящих путей, поджелудочной системы;</w:t>
      </w:r>
    </w:p>
    <w:p w14:paraId="60F13173" w14:textId="77777777" w:rsidR="00DE6656" w:rsidRPr="00CA6923" w:rsidRDefault="00DE6656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форма, которая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сопровождается различными невротическими расстройствами, которые провоцирует особый токсин, вырабатываемый лямблиями;</w:t>
      </w:r>
    </w:p>
    <w:p w14:paraId="2B6D25C3" w14:textId="2DF28893" w:rsidR="005550E9" w:rsidRPr="00CA6923" w:rsidRDefault="00DE6656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5550E9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смешанная форма характеризуется комбинацией симптомов различных форм.</w:t>
      </w:r>
    </w:p>
    <w:p w14:paraId="62133C04" w14:textId="60E65D39" w:rsidR="00D22CCC" w:rsidRPr="00CA6923" w:rsidRDefault="005550E9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Клинические проявления лямблиоза у взрослых и детей начинаются по истечении периода инкубации, который составляет 1-3 недели. Заболевание начинается обычно с боли в околопупочной области, тошноты, иногда – рвоты, отрыжки, тяжести в животе, ощущения вздутия. Симптомы не так сильно выражены, как при пищевом отравлении, иногда их путают с обострением хронических заболеваний пищеварительного тракта. При этом характерно разжижение стула, частота его увеличивается до 3-5 раз в сутки, он становится пенистым или водянистым, периодически возникают тенезмы – тянущие позывы к дефекации.</w:t>
      </w:r>
    </w:p>
    <w:p w14:paraId="0B43E4A4" w14:textId="060F26E2" w:rsidR="00D22CCC" w:rsidRPr="00CA6923" w:rsidRDefault="005550E9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Острый период заболевания длится до недели, после чего в половине случаев наступает самостоятельное выздоровление. Однако у ряда людей признаки лямблиоза со временем значительно ослабляются, но не проходят полностью. Они становятся хроническими носителями инфекции, которые особенно опасны для окружающих</w:t>
      </w:r>
      <w:r w:rsidR="005D7FF4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источником распространения данного заболевания среди здоровых. Важным фактором риска хронизации процесса является одновременное наличие гельминтов – аскарид, остриц, трихинелл.</w:t>
      </w:r>
    </w:p>
    <w:p w14:paraId="1B3149D2" w14:textId="77777777" w:rsidR="00D22CCC" w:rsidRPr="00CA6923" w:rsidRDefault="005550E9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длительном течении болезни человек становится астеничным, постепенно теряет вес, его кожа становится сухой и бледной. При этом очень часто повышается общий аллергический фон – нередко больные (чаще это встречается у детей) начинают страдать от аллергии на различные пищевые продукты и бытовые предметы, которые ранее не вызывали у них подобной реакции. Постепенно появляются или</w:t>
      </w:r>
      <w:r w:rsidR="00D22CCC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рогрессируют </w:t>
      </w:r>
      <w:hyperlink r:id="rId8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атопический дерматит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экзема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бронхиальная астма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 w:rsidR="00D22CCC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гиперчувствительности.</w:t>
      </w:r>
    </w:p>
    <w:p w14:paraId="154E70F3" w14:textId="5651CCF9" w:rsidR="005550E9" w:rsidRPr="00CA6923" w:rsidRDefault="005550E9" w:rsidP="0035068B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пациентов с хроническим течением лямблиоза часто развиваются различные неспецифические неврологические расстройства – </w:t>
      </w:r>
      <w:hyperlink r:id="rId11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астения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хроническая усталость, эмоциональная лабильность, нервные тики.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D4FDC36" w14:textId="77777777" w:rsidR="005550E9" w:rsidRPr="00CA6923" w:rsidRDefault="005550E9" w:rsidP="0035068B">
      <w:pPr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лямблиоза</w:t>
      </w:r>
    </w:p>
    <w:p w14:paraId="6DDED116" w14:textId="77777777" w:rsidR="00D22CCC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Диагностикой лямблиоза занимается </w:t>
      </w:r>
      <w:hyperlink r:id="rId12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врач-инфекцинист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детей обследование может назначить </w:t>
      </w:r>
      <w:hyperlink r:id="rId13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врач-педиатр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при необходимости он также направляет к </w:t>
      </w:r>
      <w:hyperlink r:id="rId14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детскому инфекционисту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либо на обследование в инфекционный стационар.</w:t>
      </w:r>
    </w:p>
    <w:p w14:paraId="105A165A" w14:textId="77777777" w:rsidR="00D22CCC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Трудность в выявлении данной болезни заключается в неяркой клинической картине и стертости симптомов. Аналогичная симптоматика присутствует при достаточно обширном перечне заболеваний пищеварительного тракта, в том числе при вирусных кишечных инфекционных заболеваниях, при функциональных расстройствах. Внешний осмотр также не дает конкретной информации, все симптомы неспецифичны (слабость, бледность и сухость кожи, неясные боли в животе, похудание).</w:t>
      </w:r>
    </w:p>
    <w:p w14:paraId="2569584E" w14:textId="77777777" w:rsidR="00D22CCC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Поэтому при подозрении на лямблиоз в первую очередь необходимо прохождение лабораторного обследования. Наиболее информативным является выявление непосредственно цист лямблий или вегетативных форм в кале либо в дуоденальном содержимом при проведении гастроскопии. Первый метод наиболее прост, однако отрицательный результат часто бывает ложно отрицательным, поэтому рекомендуется повторить его в течение месяца до 5 раз. Второй метод более достоверный, однако он практически невыполним у маленьких детей.</w:t>
      </w:r>
    </w:p>
    <w:p w14:paraId="7BBFFDD2" w14:textId="5CAE873E" w:rsidR="005550E9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надежный анализ на лямблиоз – это выявление антигена лямблии в кале методом ПЦР либо определение антител к этим паразитам в крови. Помимо прочего, могут быть назначены общие анализы крови, мочи, копрограмма, биохимическое исследование крови, </w:t>
      </w:r>
      <w:hyperlink r:id="rId15" w:history="1">
        <w:r w:rsidRPr="00CA6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ультразвуковое исследование органов брюшной полости</w:t>
        </w:r>
      </w:hyperlink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F796B63" w14:textId="77777777" w:rsidR="005550E9" w:rsidRPr="00CA6923" w:rsidRDefault="005550E9" w:rsidP="0035068B">
      <w:pPr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лямблиоза</w:t>
      </w:r>
    </w:p>
    <w:p w14:paraId="52F2B6CD" w14:textId="13445F30" w:rsidR="00D22CCC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 лечения лямблиоза – </w:t>
      </w:r>
      <w:r w:rsidR="00D22CCC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противопаразитарные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препараты</w:t>
      </w:r>
      <w:r w:rsidR="00D22CCC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Дозу, кратность и длительность курса также назначает </w:t>
      </w:r>
      <w:r w:rsidR="00074ECE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врач.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при обследовании одновременно выявлены яйца гельминтов, то проводится противогельминтное лечение.</w:t>
      </w:r>
      <w:r w:rsidR="00D22CCC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195F73" w14:textId="350A8FAF" w:rsidR="005550E9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Учитывая, что при гибели лямблии выделяют токсины, </w:t>
      </w:r>
      <w:r w:rsidR="00483861"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проводится комплексно. </w:t>
      </w: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Особая диета при лямблиозе – это еще один важный аспект лечения. Необходимо строго исключить пищевые продукты, которые усиливают процессы брожения в кишечнике – дрожжевой хлеб, сахар, овощи, также показан временный отказ от молока и молочных продуктов. </w:t>
      </w:r>
    </w:p>
    <w:p w14:paraId="286F983E" w14:textId="77777777" w:rsidR="005550E9" w:rsidRPr="00CA6923" w:rsidRDefault="005550E9" w:rsidP="0035068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лямблиоза</w:t>
      </w:r>
    </w:p>
    <w:p w14:paraId="5C3057B7" w14:textId="77777777" w:rsidR="005550E9" w:rsidRPr="00CA6923" w:rsidRDefault="005550E9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Основами профилактики данной болезни являются строгое соблюдение санитарно-гигиенических норм, термическая обработка пищи и кипячение воды.</w:t>
      </w:r>
    </w:p>
    <w:p w14:paraId="6D1466C6" w14:textId="77777777" w:rsidR="00716070" w:rsidRPr="00CA6923" w:rsidRDefault="00716070" w:rsidP="003506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F16431" w14:textId="77777777" w:rsidR="00716070" w:rsidRPr="00CA6923" w:rsidRDefault="00716070" w:rsidP="00BE02E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11B94D" w14:textId="77777777" w:rsidR="00716070" w:rsidRPr="00CA6923" w:rsidRDefault="00716070" w:rsidP="00BE02E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CFC449" w14:textId="77777777" w:rsidR="0035068B" w:rsidRPr="0035068B" w:rsidRDefault="00716070" w:rsidP="0035068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Врач-инфекционист </w:t>
      </w:r>
    </w:p>
    <w:p w14:paraId="7FEF6896" w14:textId="1EDA192F" w:rsidR="00716070" w:rsidRPr="0035068B" w:rsidRDefault="0035068B" w:rsidP="0035068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</w:t>
      </w: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ГККП</w:t>
      </w: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="00716070"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п</w:t>
      </w: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профилактике ВИЧ - инфекции» </w:t>
      </w:r>
      <w:r w:rsidR="00716070"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Астана                                                                                     </w:t>
      </w: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</w:t>
      </w:r>
    </w:p>
    <w:p w14:paraId="46CF8C18" w14:textId="2C3C2B92" w:rsidR="00BE02E5" w:rsidRPr="00CA6923" w:rsidRDefault="0035068B" w:rsidP="0035068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Шаяхметова Г.Т</w:t>
      </w:r>
      <w:r w:rsidRPr="003506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E02E5" w:rsidRPr="00CA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86"/>
    <w:multiLevelType w:val="multilevel"/>
    <w:tmpl w:val="06B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DDC"/>
    <w:multiLevelType w:val="hybridMultilevel"/>
    <w:tmpl w:val="84809620"/>
    <w:lvl w:ilvl="0" w:tplc="72220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D76DA"/>
    <w:multiLevelType w:val="multilevel"/>
    <w:tmpl w:val="D4B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7511"/>
    <w:multiLevelType w:val="multilevel"/>
    <w:tmpl w:val="D91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3E6A"/>
    <w:multiLevelType w:val="multilevel"/>
    <w:tmpl w:val="4D9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A4B5F"/>
    <w:multiLevelType w:val="multilevel"/>
    <w:tmpl w:val="96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24774"/>
    <w:multiLevelType w:val="multilevel"/>
    <w:tmpl w:val="C3D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C47C9"/>
    <w:multiLevelType w:val="multilevel"/>
    <w:tmpl w:val="642A1DC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2DE03041"/>
    <w:multiLevelType w:val="multilevel"/>
    <w:tmpl w:val="C4C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414F5"/>
    <w:multiLevelType w:val="multilevel"/>
    <w:tmpl w:val="43D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B7EBF"/>
    <w:multiLevelType w:val="multilevel"/>
    <w:tmpl w:val="520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8592F"/>
    <w:multiLevelType w:val="multilevel"/>
    <w:tmpl w:val="2ED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17C6E"/>
    <w:multiLevelType w:val="multilevel"/>
    <w:tmpl w:val="CFB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445E3"/>
    <w:multiLevelType w:val="hybridMultilevel"/>
    <w:tmpl w:val="8716C0F4"/>
    <w:lvl w:ilvl="0" w:tplc="BF2A4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34CC"/>
    <w:multiLevelType w:val="hybridMultilevel"/>
    <w:tmpl w:val="84809620"/>
    <w:lvl w:ilvl="0" w:tplc="72220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C1E42"/>
    <w:multiLevelType w:val="multilevel"/>
    <w:tmpl w:val="032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42DC1"/>
    <w:multiLevelType w:val="multilevel"/>
    <w:tmpl w:val="E9E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75B82"/>
    <w:multiLevelType w:val="multilevel"/>
    <w:tmpl w:val="C40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33528"/>
    <w:multiLevelType w:val="multilevel"/>
    <w:tmpl w:val="1D2C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B370C"/>
    <w:multiLevelType w:val="multilevel"/>
    <w:tmpl w:val="2D46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01CED"/>
    <w:multiLevelType w:val="multilevel"/>
    <w:tmpl w:val="BE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5"/>
  </w:num>
  <w:num w:numId="18">
    <w:abstractNumId w:val="15"/>
  </w:num>
  <w:num w:numId="19">
    <w:abstractNumId w:val="10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D"/>
    <w:rsid w:val="0003065C"/>
    <w:rsid w:val="00074ECE"/>
    <w:rsid w:val="0023674D"/>
    <w:rsid w:val="002F6ACA"/>
    <w:rsid w:val="0035068B"/>
    <w:rsid w:val="00483861"/>
    <w:rsid w:val="005550E9"/>
    <w:rsid w:val="005A207F"/>
    <w:rsid w:val="005A64C1"/>
    <w:rsid w:val="005C5174"/>
    <w:rsid w:val="005D7FF4"/>
    <w:rsid w:val="00654FA5"/>
    <w:rsid w:val="00716070"/>
    <w:rsid w:val="008055A7"/>
    <w:rsid w:val="00907D50"/>
    <w:rsid w:val="009147DB"/>
    <w:rsid w:val="00A2559E"/>
    <w:rsid w:val="00BE02E5"/>
    <w:rsid w:val="00C025FD"/>
    <w:rsid w:val="00CA6923"/>
    <w:rsid w:val="00D22CCC"/>
    <w:rsid w:val="00DE6656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5A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55A7"/>
    <w:pPr>
      <w:ind w:left="720"/>
      <w:contextualSpacing/>
    </w:pPr>
  </w:style>
  <w:style w:type="character" w:styleId="a4">
    <w:name w:val="Strong"/>
    <w:basedOn w:val="a0"/>
    <w:uiPriority w:val="22"/>
    <w:qFormat/>
    <w:rsid w:val="00716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5A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55A7"/>
    <w:pPr>
      <w:ind w:left="720"/>
      <w:contextualSpacing/>
    </w:pPr>
  </w:style>
  <w:style w:type="character" w:styleId="a4">
    <w:name w:val="Strong"/>
    <w:basedOn w:val="a0"/>
    <w:uiPriority w:val="22"/>
    <w:qFormat/>
    <w:rsid w:val="0071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58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360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4212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63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clinika.ru/tech/atopicheskiy-dermatit-prichiny-simptomy-lechenie/" TargetMode="External"/><Relationship Id="rId13" Type="http://schemas.openxmlformats.org/officeDocument/2006/relationships/hyperlink" Target="https://polyclinika.ru/direction2/pediatr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yclinika.ru/tech/gastrit-prichiny-simptomy-lechenie-dieta-pitanie/" TargetMode="External"/><Relationship Id="rId12" Type="http://schemas.openxmlformats.org/officeDocument/2006/relationships/hyperlink" Target="https://polyclinika.ru/direction2/infektsioni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lyclinika.ru/tech/khronicheskiy-duodenit/" TargetMode="External"/><Relationship Id="rId11" Type="http://schemas.openxmlformats.org/officeDocument/2006/relationships/hyperlink" Target="https://polyclinika.ru/tech/asteniya-prichiny-simptomy-l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yclinika.ru/direction2/uzi-ultrazvukovoe-issledovanie/uzi-organov-bryushnoy-polosti/" TargetMode="External"/><Relationship Id="rId10" Type="http://schemas.openxmlformats.org/officeDocument/2006/relationships/hyperlink" Target="https://polyclinika.ru/tech/bronkhialnaya-astma-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yclinika.ru/tech/ekzema-prichiny-simptomy-lechenie/" TargetMode="External"/><Relationship Id="rId14" Type="http://schemas.openxmlformats.org/officeDocument/2006/relationships/hyperlink" Target="https://polyclinika.ru/direction2/otdelenie-pediatrii/detskiy-infektsion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Тоганбаева</dc:creator>
  <cp:keywords/>
  <dc:description/>
  <cp:lastModifiedBy>Келбет Болатовна</cp:lastModifiedBy>
  <cp:revision>17</cp:revision>
  <dcterms:created xsi:type="dcterms:W3CDTF">2023-05-31T17:42:00Z</dcterms:created>
  <dcterms:modified xsi:type="dcterms:W3CDTF">2023-09-12T05:17:00Z</dcterms:modified>
</cp:coreProperties>
</file>