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1FA41" w14:textId="44A1E4B2" w:rsidR="003246A7" w:rsidRPr="00B654F9" w:rsidRDefault="00F7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F9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1622"/>
      </w:tblGrid>
      <w:tr w:rsidR="00130821" w14:paraId="18B5AC79" w14:textId="738294E7" w:rsidTr="00BD1BD2">
        <w:trPr>
          <w:trHeight w:val="508"/>
        </w:trPr>
        <w:tc>
          <w:tcPr>
            <w:tcW w:w="568" w:type="dxa"/>
          </w:tcPr>
          <w:p w14:paraId="098A6423" w14:textId="77777777" w:rsidR="00130821" w:rsidRPr="00B654F9" w:rsidRDefault="00130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1D3041FF" w14:textId="77777777" w:rsidR="00130821" w:rsidRPr="00B654F9" w:rsidRDefault="00130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622" w:type="dxa"/>
          </w:tcPr>
          <w:p w14:paraId="5F609EB7" w14:textId="77777777" w:rsidR="00130821" w:rsidRPr="00B654F9" w:rsidRDefault="00130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</w:tc>
      </w:tr>
      <w:tr w:rsidR="00130821" w14:paraId="02803517" w14:textId="0E20F91A" w:rsidTr="00BD1BD2">
        <w:tc>
          <w:tcPr>
            <w:tcW w:w="568" w:type="dxa"/>
          </w:tcPr>
          <w:p w14:paraId="25ECE886" w14:textId="43C00D42" w:rsidR="00130821" w:rsidRDefault="0013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46B0E61" w14:textId="3B6698DA" w:rsidR="00130821" w:rsidRDefault="00130821" w:rsidP="00EF5A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для исследования CD4% </w:t>
            </w:r>
            <w:proofErr w:type="spellStart"/>
            <w:r>
              <w:rPr>
                <w:rFonts w:ascii="Calibri" w:hAnsi="Calibri" w:cs="Calibri"/>
                <w:color w:val="000000"/>
              </w:rPr>
              <w:t>easy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count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</w:p>
          <w:p w14:paraId="0CA1242A" w14:textId="0911A8FD" w:rsidR="00130821" w:rsidRDefault="00130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2" w:type="dxa"/>
          </w:tcPr>
          <w:p w14:paraId="5F83B53C" w14:textId="051980E5" w:rsidR="00130821" w:rsidRDefault="00130821" w:rsidP="00EF5A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содержит </w:t>
            </w:r>
            <w:proofErr w:type="gramStart"/>
            <w:r>
              <w:rPr>
                <w:rFonts w:ascii="Calibri" w:hAnsi="Calibri" w:cs="Calibri"/>
                <w:color w:val="000000"/>
              </w:rPr>
              <w:t>-р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учной четырехкомпонентный количественный тест IVD для определения лейкоцитов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субпопуляции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лимфоцитов в цельной венозной крови взрослого человека с ЭДТА, которые затем могут быть подсчитаны с помощью проточного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цитометра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.. Условия хранения: в тёмном месте при 2-8°С.  Коэффициент вариации &lt;5%,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межинструментальная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внутриинструментальная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точности &lt;5%, средняя вариабельность между анализами 4.0-4.2%. Количество тестов в 1  упаковке: 100штук ( CD4% </w:t>
            </w:r>
            <w:proofErr w:type="spellStart"/>
            <w:r>
              <w:rPr>
                <w:rFonts w:ascii="Calibri" w:hAnsi="Calibri" w:cs="Calibri"/>
                <w:color w:val="000000"/>
              </w:rPr>
              <w:t>easy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count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CyFlow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Counter</w:t>
            </w:r>
            <w:proofErr w:type="spellEnd"/>
            <w:r>
              <w:rPr>
                <w:rFonts w:ascii="Calibri" w:hAnsi="Calibri" w:cs="Calibri"/>
                <w:color w:val="000000"/>
              </w:rPr>
              <w:t>).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 Набор должен содержать расходный материал (промывочный раствор, чистящий раствор и другие растворы, необходимые для проведения исследования на анализаторе,) термобумагу для печати; одноразовые пробирки, а также контрольные частицы для проведения контроля качества, в достаточном количестве для проведения 100 исследований.</w:t>
            </w:r>
          </w:p>
          <w:p w14:paraId="1CF51DAD" w14:textId="058CA0E5" w:rsidR="00130821" w:rsidRDefault="00130821" w:rsidP="00E76FF7">
            <w:pPr>
              <w:spacing w:after="0" w:line="240" w:lineRule="auto"/>
              <w:ind w:right="6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D2" w14:paraId="0ED48FAB" w14:textId="77777777" w:rsidTr="00BD1BD2">
        <w:tc>
          <w:tcPr>
            <w:tcW w:w="568" w:type="dxa"/>
          </w:tcPr>
          <w:p w14:paraId="3CCF7714" w14:textId="0B985117" w:rsidR="007544D2" w:rsidRDefault="00754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E181D64" w14:textId="1019BF51" w:rsidR="007544D2" w:rsidRPr="00BD1BD2" w:rsidRDefault="00BD1BD2" w:rsidP="00BD1BD2">
            <w:pPr>
              <w:jc w:val="both"/>
              <w:rPr>
                <w:rFonts w:eastAsia="Droid Sans"/>
                <w:kern w:val="1"/>
                <w:lang w:eastAsia="zh-CN" w:bidi="hi-IN"/>
              </w:rPr>
            </w:pPr>
            <w:r w:rsidRPr="00BD1BD2">
              <w:rPr>
                <w:rFonts w:eastAsia="Droid Sans"/>
                <w:kern w:val="1"/>
                <w:lang w:eastAsia="zh-CN" w:bidi="hi-IN"/>
              </w:rPr>
              <w:t xml:space="preserve">Шприц, медицинский, инъекционный, </w:t>
            </w:r>
            <w:r>
              <w:rPr>
                <w:rFonts w:eastAsia="Droid Sans"/>
                <w:kern w:val="1"/>
                <w:lang w:eastAsia="zh-CN" w:bidi="hi-IN"/>
              </w:rPr>
              <w:t xml:space="preserve">для </w:t>
            </w:r>
            <w:r w:rsidRPr="00BD1BD2">
              <w:rPr>
                <w:rFonts w:eastAsia="Droid Sans"/>
                <w:kern w:val="1"/>
                <w:lang w:eastAsia="zh-CN" w:bidi="hi-IN"/>
              </w:rPr>
              <w:t>однократного применения</w:t>
            </w:r>
          </w:p>
        </w:tc>
        <w:tc>
          <w:tcPr>
            <w:tcW w:w="11622" w:type="dxa"/>
          </w:tcPr>
          <w:p w14:paraId="3074BE31" w14:textId="77777777" w:rsidR="00BD1BD2" w:rsidRPr="00BD1B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>Шприц одноразовый 2 мл с иглой 22 G х 1 ½</w:t>
            </w:r>
          </w:p>
          <w:p w14:paraId="09B13911" w14:textId="77777777" w:rsidR="00BD1BD2" w:rsidRPr="00BD1B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>Шприц одноразовый медицинский, состоит из прозрачного цилиндра и поршня, а также резиновой манжеты на поршне (3-й компонент шприца), которая обеспечивает плавность ввода без рывков.</w:t>
            </w:r>
          </w:p>
          <w:p w14:paraId="6EE6FDCA" w14:textId="77777777" w:rsidR="00BD1BD2" w:rsidRPr="00BD1B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 xml:space="preserve">Резиновый уплотнитель из синтетического каучука со специальной силиконовой смазкой, которая обеспечивает </w:t>
            </w:r>
            <w:proofErr w:type="gramStart"/>
            <w:r w:rsidRPr="00BD1BD2">
              <w:rPr>
                <w:rFonts w:ascii="Calibri" w:hAnsi="Calibri" w:cs="Calibri"/>
                <w:color w:val="000000"/>
              </w:rPr>
              <w:t>более плавное</w:t>
            </w:r>
            <w:proofErr w:type="gramEnd"/>
            <w:r w:rsidRPr="00BD1BD2">
              <w:rPr>
                <w:rFonts w:ascii="Calibri" w:hAnsi="Calibri" w:cs="Calibri"/>
                <w:color w:val="000000"/>
              </w:rPr>
              <w:t xml:space="preserve"> и равномерное движение поршня.</w:t>
            </w:r>
          </w:p>
          <w:p w14:paraId="2EA32C90" w14:textId="77777777" w:rsidR="00BD1BD2" w:rsidRPr="00BD1B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>Цилиндр шприца абсолютно прозрачен, для того чтобы при введении можно было проконтролировать отсутствие воздушных пузырьков и оценить надлежащий вид жидкости.</w:t>
            </w:r>
          </w:p>
          <w:p w14:paraId="44F165A8" w14:textId="77777777" w:rsidR="00BD1BD2" w:rsidRPr="00BD1B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>Для максимально точного соблюдения дозировки шкала шприца сделана чёткой и контрастной чёрного или синего цвета. Стопорное кольцо препятствует случайному выскальзыванию поршня из цилиндра.</w:t>
            </w:r>
          </w:p>
          <w:p w14:paraId="7BD5B399" w14:textId="77777777" w:rsidR="00BD1BD2" w:rsidRPr="00BD1B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>Иглы производятся из стали высочайшего качества и имеют тройную заточку острия и обработано силиконом.</w:t>
            </w:r>
          </w:p>
          <w:p w14:paraId="7E2C9171" w14:textId="5057DF0E" w:rsidR="007544D2" w:rsidRDefault="00BD1BD2" w:rsidP="00BD1B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1BD2">
              <w:rPr>
                <w:rFonts w:ascii="Calibri" w:hAnsi="Calibri" w:cs="Calibri"/>
                <w:color w:val="000000"/>
              </w:rPr>
              <w:t>Шприцы должны иметь (отдельно) стерильный упаковки, состоящий из медицинской бумаги и полиамидной плёнки, которая содержит шприц с иглой.</w:t>
            </w:r>
          </w:p>
        </w:tc>
      </w:tr>
    </w:tbl>
    <w:p w14:paraId="7E02303E" w14:textId="77777777" w:rsidR="00BD1BD2" w:rsidRDefault="00BD1BD2" w:rsidP="00AE72DE">
      <w:pPr>
        <w:tabs>
          <w:tab w:val="left" w:pos="10695"/>
        </w:tabs>
        <w:rPr>
          <w:rFonts w:ascii="Times New Roman" w:hAnsi="Times New Roman" w:cs="Times New Roman"/>
          <w:sz w:val="24"/>
          <w:szCs w:val="24"/>
        </w:rPr>
      </w:pPr>
    </w:p>
    <w:p w14:paraId="2634BAE0" w14:textId="77777777" w:rsidR="00872B47" w:rsidRDefault="00872B47" w:rsidP="00AE72DE">
      <w:pPr>
        <w:tabs>
          <w:tab w:val="left" w:pos="10695"/>
        </w:tabs>
        <w:rPr>
          <w:rFonts w:ascii="Times New Roman" w:hAnsi="Times New Roman" w:cs="Times New Roman"/>
          <w:b/>
          <w:sz w:val="28"/>
          <w:szCs w:val="28"/>
        </w:rPr>
      </w:pPr>
    </w:p>
    <w:p w14:paraId="5A4BDB0F" w14:textId="77777777" w:rsidR="00872B47" w:rsidRDefault="00872B47" w:rsidP="00872B47">
      <w:pPr>
        <w:tabs>
          <w:tab w:val="left" w:pos="10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7B4B10BD" w14:textId="77777777" w:rsidR="00872B47" w:rsidRDefault="00872B47" w:rsidP="00872B47">
      <w:pPr>
        <w:tabs>
          <w:tab w:val="left" w:pos="10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CE1215" w14:textId="77777777" w:rsidR="00872B47" w:rsidRDefault="00872B47" w:rsidP="00872B47">
      <w:pPr>
        <w:tabs>
          <w:tab w:val="left" w:pos="10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986700" w14:textId="77777777" w:rsidR="00872B47" w:rsidRDefault="00872B47" w:rsidP="00872B47">
      <w:pPr>
        <w:tabs>
          <w:tab w:val="left" w:pos="10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F649E5" w14:textId="77777777" w:rsidR="00C778C4" w:rsidRPr="00086329" w:rsidRDefault="00872B47" w:rsidP="00C778C4">
      <w:pPr>
        <w:spacing w:after="0" w:line="240" w:lineRule="auto"/>
        <w:ind w:right="-731" w:firstLine="567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778C4" w:rsidRPr="00CD51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БЕКІТЕМІН</w:t>
      </w:r>
      <w:r w:rsidR="00C778C4"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5E7DA16B" w14:textId="77777777" w:rsidR="00C778C4" w:rsidRDefault="00C778C4" w:rsidP="00C778C4">
      <w:pPr>
        <w:spacing w:after="0" w:line="240" w:lineRule="auto"/>
        <w:ind w:right="-731" w:firstLine="567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Астана қаласы әкімдігінің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</w:p>
    <w:p w14:paraId="14A66DCD" w14:textId="77777777" w:rsidR="00C778C4" w:rsidRDefault="00C778C4" w:rsidP="00C778C4">
      <w:pPr>
        <w:spacing w:after="0" w:line="240" w:lineRule="auto"/>
        <w:ind w:right="-731" w:firstLine="567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АИТВ инфекциясы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</w:t>
      </w:r>
    </w:p>
    <w:p w14:paraId="4FCF027A" w14:textId="77777777" w:rsidR="00C778C4" w:rsidRDefault="00C778C4" w:rsidP="00C778C4">
      <w:pPr>
        <w:spacing w:after="0" w:line="240" w:lineRule="auto"/>
        <w:ind w:right="-731" w:firstLine="567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лдын алу орталығы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МКҚК</w:t>
      </w:r>
    </w:p>
    <w:p w14:paraId="539ED437" w14:textId="56E859F9" w:rsidR="00C778C4" w:rsidRPr="00086329" w:rsidRDefault="00C778C4" w:rsidP="00C778C4">
      <w:pPr>
        <w:spacing w:after="0" w:line="240" w:lineRule="auto"/>
        <w:ind w:right="-731" w:firstLine="567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иректор</w:t>
      </w:r>
      <w:r w:rsidRPr="000863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0F403047" w14:textId="6B03533C" w:rsidR="00C778C4" w:rsidRPr="00CD512C" w:rsidRDefault="00C778C4" w:rsidP="00C778C4">
      <w:pPr>
        <w:spacing w:after="0" w:line="240" w:lineRule="auto"/>
        <w:ind w:right="-731" w:firstLine="567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D51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_________________С.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Абдраимов</w:t>
      </w:r>
      <w:bookmarkStart w:id="0" w:name="_GoBack"/>
      <w:bookmarkEnd w:id="0"/>
    </w:p>
    <w:p w14:paraId="713E387B" w14:textId="1BCC1DA9" w:rsidR="00872B47" w:rsidRPr="00C778C4" w:rsidRDefault="00C778C4" w:rsidP="00C778C4">
      <w:pPr>
        <w:tabs>
          <w:tab w:val="left" w:pos="10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CD51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01» </w:t>
      </w:r>
      <w:r w:rsidRPr="00CD51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D51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2023 ж</w:t>
      </w:r>
      <w:r w:rsidR="00872B4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FF1F306" w14:textId="7B09C4C9" w:rsidR="00872B47" w:rsidRDefault="00872B47" w:rsidP="00AE72DE">
      <w:pPr>
        <w:tabs>
          <w:tab w:val="left" w:pos="10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872B47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872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B47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34"/>
        <w:gridCol w:w="2693"/>
        <w:gridCol w:w="11623"/>
      </w:tblGrid>
      <w:tr w:rsidR="00872B47" w14:paraId="0CF09347" w14:textId="77777777" w:rsidTr="00872B47">
        <w:tc>
          <w:tcPr>
            <w:tcW w:w="534" w:type="dxa"/>
          </w:tcPr>
          <w:p w14:paraId="22E46198" w14:textId="044EB80E" w:rsidR="00872B47" w:rsidRDefault="00872B47" w:rsidP="00AE72DE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2E80D777" w14:textId="5AF79979" w:rsidR="00872B47" w:rsidRPr="00872B47" w:rsidRDefault="00872B47" w:rsidP="00872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B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Тауардың атауы</w:t>
            </w:r>
          </w:p>
        </w:tc>
        <w:tc>
          <w:tcPr>
            <w:tcW w:w="11623" w:type="dxa"/>
          </w:tcPr>
          <w:p w14:paraId="1FD6C281" w14:textId="67C78D1F" w:rsidR="00872B47" w:rsidRPr="00872B47" w:rsidRDefault="00872B47" w:rsidP="00872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B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Техникалық ерекшелігі</w:t>
            </w:r>
          </w:p>
        </w:tc>
      </w:tr>
      <w:tr w:rsidR="00872B47" w14:paraId="26FDF74C" w14:textId="77777777" w:rsidTr="00872B47">
        <w:tc>
          <w:tcPr>
            <w:tcW w:w="534" w:type="dxa"/>
          </w:tcPr>
          <w:p w14:paraId="003A602B" w14:textId="21777037" w:rsidR="00872B47" w:rsidRPr="00872B47" w:rsidRDefault="00872B47" w:rsidP="00AE72DE">
            <w:pPr>
              <w:tabs>
                <w:tab w:val="left" w:pos="10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A880372" w14:textId="3F8FE150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2B47">
              <w:rPr>
                <w:rFonts w:ascii="Calibri" w:hAnsi="Calibri" w:cs="Calibri"/>
                <w:color w:val="000000"/>
              </w:rPr>
              <w:t>CD4% easy count жинағын зерттеуге арналған жинақ</w:t>
            </w:r>
          </w:p>
        </w:tc>
        <w:tc>
          <w:tcPr>
            <w:tcW w:w="11623" w:type="dxa"/>
          </w:tcPr>
          <w:p w14:paraId="2EF9249A" w14:textId="64B15FBB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Жиынтық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та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-EDTA бар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ересек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адамның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толық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веноздық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қанындағы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лейкоциттерді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лимфоциттердің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субпопуляциясын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анықтауға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арналған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Төрт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компонентті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IVD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сандық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сынағы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бар,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содан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кейін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оны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ағын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цитометрімен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есептеуге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болады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..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Сақтау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шарттары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қараңғы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жерде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2-8°с. вариация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коэффициенті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&lt;5%,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аспаптар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аралық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аспапішілік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дәлдік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&lt;5%,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талдаулар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арасындағы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орташа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өзгергі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шт</w:t>
            </w:r>
            <w:proofErr w:type="gramEnd"/>
            <w:r w:rsidRPr="00872B47">
              <w:rPr>
                <w:rFonts w:ascii="Calibri" w:hAnsi="Calibri" w:cs="Calibri"/>
                <w:color w:val="000000"/>
              </w:rPr>
              <w:t>ік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4.0-4.2%. 1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қаптамадағы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сынақтар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саны: 100 дана (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CyFlow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Counter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CD4%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easy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count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kit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). </w:t>
            </w:r>
            <w:proofErr w:type="spellStart"/>
            <w:proofErr w:type="gramStart"/>
            <w:r w:rsidRPr="00872B47">
              <w:rPr>
                <w:rFonts w:ascii="Calibri" w:hAnsi="Calibri" w:cs="Calibri"/>
                <w:color w:val="000000"/>
              </w:rPr>
              <w:t>Тапсырыс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берушіде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бар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медициналық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жабдықтың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бағдарламалық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қамтамасыз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етумен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үйлесімділігін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анықтау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өндіруші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бекіткен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стандартты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үлгілерде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калибрлеуді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кейіннен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валидациялау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Жеткізуші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жеткізу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кезінде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жиынтықты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спектрлік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калибрлеуді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жүргізеді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Жеткізілген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жиынтық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орнатылған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бағдарламалық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жасақтаманың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нұсқасымен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үйлесімді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болуы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керек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Жинақта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Шығыс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материалы (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жуу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ерітіндісі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тазалау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ерітіндісі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анализаторда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зерттеу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жүргізу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қажетті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басқа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да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ерітінділер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басып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шығаруға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арналған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жылу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қағазы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болуы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872B47">
              <w:rPr>
                <w:rFonts w:ascii="Calibri" w:hAnsi="Calibri" w:cs="Calibri"/>
                <w:color w:val="000000"/>
              </w:rPr>
              <w:t>тиіс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;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бір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реттік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тү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т</w:t>
            </w:r>
            <w:proofErr w:type="gramEnd"/>
            <w:r w:rsidRPr="00872B47">
              <w:rPr>
                <w:rFonts w:ascii="Calibri" w:hAnsi="Calibri" w:cs="Calibri"/>
                <w:color w:val="000000"/>
              </w:rPr>
              <w:t>іктер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сондай-ақ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сапаны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бақылау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бақылау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бөлшектері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100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зерттеу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жүргізу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жеткілікті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мөлшерде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72B47" w14:paraId="0AEBA881" w14:textId="77777777" w:rsidTr="00872B47">
        <w:tc>
          <w:tcPr>
            <w:tcW w:w="534" w:type="dxa"/>
          </w:tcPr>
          <w:p w14:paraId="022DF03C" w14:textId="0DAC0301" w:rsidR="00872B47" w:rsidRPr="00872B47" w:rsidRDefault="00872B47" w:rsidP="00AE72DE">
            <w:pPr>
              <w:tabs>
                <w:tab w:val="left" w:pos="10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2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765EA6A" w14:textId="4F0ECABA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2B47">
              <w:rPr>
                <w:rFonts w:ascii="Calibri" w:hAnsi="Calibri" w:cs="Calibri"/>
                <w:color w:val="000000"/>
              </w:rPr>
              <w:t xml:space="preserve">Шприц,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медициналық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инъекциялық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бі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р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рет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қолдануға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арналған</w:t>
            </w:r>
            <w:proofErr w:type="spellEnd"/>
          </w:p>
        </w:tc>
        <w:tc>
          <w:tcPr>
            <w:tcW w:w="11623" w:type="dxa"/>
          </w:tcPr>
          <w:p w14:paraId="02AD8EEC" w14:textId="77777777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Бі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р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рет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қолданылатын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Шприц 2 мл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инемен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22 g x 1 ½</w:t>
            </w:r>
          </w:p>
          <w:p w14:paraId="5750953A" w14:textId="77777777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Бі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р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рет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қолданылатын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медициналық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Шприц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мөлдір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цилиндр мен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поршеньден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сондай-ақ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Поршеньдегі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резеңке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манжеттен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шприцтің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3-ші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компоненті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тұрады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ол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кірістің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тегіс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болуын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қамтамасыз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етеді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  <w:p w14:paraId="4979B354" w14:textId="77777777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Поршеньдің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тегіс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біркелкі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қозғалысын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қамтамасыз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ететін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арнайы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силикон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майы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бар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синтетикалық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резең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ке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ты</w:t>
            </w:r>
            <w:proofErr w:type="gramEnd"/>
            <w:r w:rsidRPr="00872B47">
              <w:rPr>
                <w:rFonts w:ascii="Calibri" w:hAnsi="Calibri" w:cs="Calibri"/>
                <w:color w:val="000000"/>
              </w:rPr>
              <w:t>ғыздағыш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  <w:p w14:paraId="5CE18584" w14:textId="77777777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Шприцтің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цилиндрі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толығымен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мөлдір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сондықтан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енгізу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кезінде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ауа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көпіршіктерінің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жоқтығын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бақылауға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сұйықтық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ты</w:t>
            </w:r>
            <w:proofErr w:type="gramEnd"/>
            <w:r w:rsidRPr="00872B47">
              <w:rPr>
                <w:rFonts w:ascii="Calibri" w:hAnsi="Calibri" w:cs="Calibri"/>
                <w:color w:val="000000"/>
              </w:rPr>
              <w:t>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дұрыс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түрін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бағалауға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болады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  <w:p w14:paraId="52CBF749" w14:textId="77777777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Дозаны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мүмкіндігінше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дәл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сақтау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үшін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шприц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шкаласы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айқын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қарама-қарсы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қара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немесе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кө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к</w:t>
            </w:r>
            <w:proofErr w:type="spellEnd"/>
            <w:proofErr w:type="gram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түсте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жасалады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Бекіткіш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сақина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поршеньнің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цилиндрден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кездейсоқ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сырғып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кетуіне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жол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бермейді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  <w:p w14:paraId="75DA9FA8" w14:textId="77777777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Инелер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жоғары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сапалы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болаттан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жасалған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үш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нүктелі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</w:t>
            </w:r>
            <w:proofErr w:type="gramStart"/>
            <w:r w:rsidRPr="00872B47">
              <w:rPr>
                <w:rFonts w:ascii="Calibri" w:hAnsi="Calibri" w:cs="Calibri"/>
                <w:color w:val="000000"/>
              </w:rPr>
              <w:t>айрау</w:t>
            </w:r>
            <w:proofErr w:type="gramEnd"/>
            <w:r w:rsidRPr="00872B47">
              <w:rPr>
                <w:rFonts w:ascii="Calibri" w:hAnsi="Calibri" w:cs="Calibri"/>
                <w:color w:val="000000"/>
              </w:rPr>
              <w:t>ға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ие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силиконмен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өңделген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  <w:p w14:paraId="5BDEBC53" w14:textId="5F2BDEB3" w:rsidR="00872B47" w:rsidRPr="00872B47" w:rsidRDefault="00872B47" w:rsidP="00872B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2B47">
              <w:rPr>
                <w:rFonts w:ascii="Calibri" w:hAnsi="Calibri" w:cs="Calibri"/>
                <w:color w:val="000000"/>
              </w:rPr>
              <w:t>Шприцтерде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872B47">
              <w:rPr>
                <w:rFonts w:ascii="Calibri" w:hAnsi="Calibri" w:cs="Calibri"/>
                <w:color w:val="000000"/>
              </w:rPr>
              <w:t>медициналы</w:t>
            </w:r>
            <w:proofErr w:type="gramEnd"/>
            <w:r w:rsidRPr="00872B47">
              <w:rPr>
                <w:rFonts w:ascii="Calibri" w:hAnsi="Calibri" w:cs="Calibri"/>
                <w:color w:val="000000"/>
              </w:rPr>
              <w:t>қ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қағаздан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және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ине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шприці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бар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полиамидті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пленкадан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тұратын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бөлек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стерильді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қаптама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болуы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72B47">
              <w:rPr>
                <w:rFonts w:ascii="Calibri" w:hAnsi="Calibri" w:cs="Calibri"/>
                <w:color w:val="000000"/>
              </w:rPr>
              <w:t>керек</w:t>
            </w:r>
            <w:proofErr w:type="spellEnd"/>
            <w:r w:rsidRPr="00872B47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2178CC27" w14:textId="77777777" w:rsidR="00872B47" w:rsidRDefault="00872B47" w:rsidP="00AE72DE">
      <w:pPr>
        <w:tabs>
          <w:tab w:val="left" w:pos="10695"/>
        </w:tabs>
        <w:rPr>
          <w:rFonts w:ascii="Times New Roman" w:hAnsi="Times New Roman" w:cs="Times New Roman"/>
          <w:b/>
          <w:sz w:val="28"/>
          <w:szCs w:val="28"/>
        </w:rPr>
      </w:pPr>
    </w:p>
    <w:p w14:paraId="10050A3E" w14:textId="77777777" w:rsidR="00872B47" w:rsidRPr="00BD1BD2" w:rsidRDefault="00872B47" w:rsidP="00AE72DE">
      <w:pPr>
        <w:tabs>
          <w:tab w:val="left" w:pos="1069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2B47" w:rsidRPr="00BD1BD2" w:rsidSect="00BD1BD2">
      <w:pgSz w:w="16838" w:h="11906" w:orient="landscape"/>
      <w:pgMar w:top="851" w:right="3088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A7"/>
    <w:rsid w:val="000D3745"/>
    <w:rsid w:val="00117533"/>
    <w:rsid w:val="00130821"/>
    <w:rsid w:val="003246A7"/>
    <w:rsid w:val="00345816"/>
    <w:rsid w:val="00351660"/>
    <w:rsid w:val="003D6216"/>
    <w:rsid w:val="003E38DF"/>
    <w:rsid w:val="004172D4"/>
    <w:rsid w:val="00492941"/>
    <w:rsid w:val="004B6B42"/>
    <w:rsid w:val="00577716"/>
    <w:rsid w:val="005C6BA6"/>
    <w:rsid w:val="005C6BCD"/>
    <w:rsid w:val="005E0B4D"/>
    <w:rsid w:val="005E3093"/>
    <w:rsid w:val="00602395"/>
    <w:rsid w:val="00604FA9"/>
    <w:rsid w:val="00697B32"/>
    <w:rsid w:val="007544D2"/>
    <w:rsid w:val="00774307"/>
    <w:rsid w:val="00872B47"/>
    <w:rsid w:val="008C5420"/>
    <w:rsid w:val="00A43346"/>
    <w:rsid w:val="00A51D44"/>
    <w:rsid w:val="00A67751"/>
    <w:rsid w:val="00AE72DE"/>
    <w:rsid w:val="00B10C99"/>
    <w:rsid w:val="00B654F9"/>
    <w:rsid w:val="00BD1BD2"/>
    <w:rsid w:val="00C60251"/>
    <w:rsid w:val="00C65DB1"/>
    <w:rsid w:val="00C778C4"/>
    <w:rsid w:val="00C858C4"/>
    <w:rsid w:val="00D90103"/>
    <w:rsid w:val="00DB0D1C"/>
    <w:rsid w:val="00DE407B"/>
    <w:rsid w:val="00E76FF7"/>
    <w:rsid w:val="00EF5A17"/>
    <w:rsid w:val="00F108C0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4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42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10C99"/>
  </w:style>
  <w:style w:type="character" w:styleId="a9">
    <w:name w:val="Strong"/>
    <w:basedOn w:val="a0"/>
    <w:uiPriority w:val="22"/>
    <w:qFormat/>
    <w:rsid w:val="00B10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42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10C99"/>
  </w:style>
  <w:style w:type="character" w:styleId="a9">
    <w:name w:val="Strong"/>
    <w:basedOn w:val="a0"/>
    <w:uiPriority w:val="22"/>
    <w:qFormat/>
    <w:rsid w:val="00B1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269C-3E97-461C-85F8-6F6FE552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Абылаева</dc:creator>
  <dc:description/>
  <cp:lastModifiedBy>Асель Абылаева</cp:lastModifiedBy>
  <cp:revision>27</cp:revision>
  <cp:lastPrinted>2023-06-01T10:47:00Z</cp:lastPrinted>
  <dcterms:created xsi:type="dcterms:W3CDTF">2023-02-17T05:29:00Z</dcterms:created>
  <dcterms:modified xsi:type="dcterms:W3CDTF">2023-06-01T10:48:00Z</dcterms:modified>
  <dc:language>en-US</dc:language>
</cp:coreProperties>
</file>