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4D51C" w14:textId="77777777" w:rsidR="00893CEC" w:rsidRPr="00423080" w:rsidRDefault="00423080" w:rsidP="00423080">
      <w:pPr>
        <w:jc w:val="right"/>
        <w:rPr>
          <w:rFonts w:ascii="Times New Roman" w:hAnsi="Times New Roman" w:cs="Times New Roman"/>
          <w:sz w:val="28"/>
          <w:szCs w:val="28"/>
        </w:rPr>
      </w:pPr>
      <w:r w:rsidRPr="00423080">
        <w:rPr>
          <w:rFonts w:ascii="Times New Roman" w:hAnsi="Times New Roman" w:cs="Times New Roman"/>
          <w:sz w:val="28"/>
          <w:szCs w:val="28"/>
        </w:rPr>
        <w:t>Приложение 2</w:t>
      </w:r>
    </w:p>
    <w:p w14:paraId="56007866" w14:textId="77777777" w:rsidR="00423080" w:rsidRPr="001C3AEE" w:rsidRDefault="00423080" w:rsidP="00423080">
      <w:pPr>
        <w:jc w:val="center"/>
        <w:rPr>
          <w:rFonts w:ascii="Times New Roman" w:hAnsi="Times New Roman" w:cs="Times New Roman"/>
          <w:b/>
          <w:sz w:val="28"/>
          <w:szCs w:val="28"/>
        </w:rPr>
      </w:pPr>
      <w:r w:rsidRPr="001C3AEE">
        <w:rPr>
          <w:rFonts w:ascii="Times New Roman" w:hAnsi="Times New Roman" w:cs="Times New Roman"/>
          <w:b/>
          <w:sz w:val="28"/>
          <w:szCs w:val="28"/>
        </w:rPr>
        <w:t>Техническая спецификация</w:t>
      </w:r>
    </w:p>
    <w:tbl>
      <w:tblPr>
        <w:tblStyle w:val="a3"/>
        <w:tblW w:w="15310" w:type="dxa"/>
        <w:tblInd w:w="-318" w:type="dxa"/>
        <w:tblLook w:val="04A0" w:firstRow="1" w:lastRow="0" w:firstColumn="1" w:lastColumn="0" w:noHBand="0" w:noVBand="1"/>
      </w:tblPr>
      <w:tblGrid>
        <w:gridCol w:w="568"/>
        <w:gridCol w:w="4678"/>
        <w:gridCol w:w="10064"/>
      </w:tblGrid>
      <w:tr w:rsidR="00423080" w:rsidRPr="00423080" w14:paraId="5BEC431B" w14:textId="77777777" w:rsidTr="00680823">
        <w:tc>
          <w:tcPr>
            <w:tcW w:w="568" w:type="dxa"/>
          </w:tcPr>
          <w:p w14:paraId="6B17CA1A" w14:textId="77777777" w:rsidR="00423080" w:rsidRPr="00A473CB" w:rsidRDefault="00423080" w:rsidP="00DF26F9">
            <w:pPr>
              <w:rPr>
                <w:rFonts w:ascii="Times New Roman" w:hAnsi="Times New Roman" w:cs="Times New Roman"/>
                <w:b/>
                <w:sz w:val="28"/>
                <w:szCs w:val="28"/>
              </w:rPr>
            </w:pPr>
            <w:r w:rsidRPr="00A473CB">
              <w:rPr>
                <w:rFonts w:ascii="Times New Roman" w:hAnsi="Times New Roman" w:cs="Times New Roman"/>
                <w:b/>
                <w:sz w:val="28"/>
                <w:szCs w:val="28"/>
              </w:rPr>
              <w:t>№</w:t>
            </w:r>
          </w:p>
        </w:tc>
        <w:tc>
          <w:tcPr>
            <w:tcW w:w="4678" w:type="dxa"/>
          </w:tcPr>
          <w:p w14:paraId="0AB13A9D" w14:textId="77777777" w:rsidR="00423080" w:rsidRPr="00A473CB" w:rsidRDefault="00423080" w:rsidP="00DF26F9">
            <w:pPr>
              <w:rPr>
                <w:rFonts w:ascii="Times New Roman" w:hAnsi="Times New Roman" w:cs="Times New Roman"/>
                <w:b/>
                <w:sz w:val="28"/>
                <w:szCs w:val="28"/>
              </w:rPr>
            </w:pPr>
            <w:r w:rsidRPr="00A473CB">
              <w:rPr>
                <w:rFonts w:ascii="Times New Roman" w:hAnsi="Times New Roman" w:cs="Times New Roman"/>
                <w:b/>
                <w:sz w:val="28"/>
                <w:szCs w:val="28"/>
              </w:rPr>
              <w:t>Наименование товара</w:t>
            </w:r>
          </w:p>
        </w:tc>
        <w:tc>
          <w:tcPr>
            <w:tcW w:w="10064" w:type="dxa"/>
          </w:tcPr>
          <w:p w14:paraId="60C556A7" w14:textId="77777777" w:rsidR="00423080" w:rsidRDefault="00423080" w:rsidP="00DF26F9">
            <w:pPr>
              <w:rPr>
                <w:rFonts w:ascii="Times New Roman" w:hAnsi="Times New Roman" w:cs="Times New Roman"/>
                <w:b/>
                <w:sz w:val="28"/>
                <w:szCs w:val="28"/>
              </w:rPr>
            </w:pPr>
            <w:r w:rsidRPr="00A473CB">
              <w:rPr>
                <w:rFonts w:ascii="Times New Roman" w:hAnsi="Times New Roman" w:cs="Times New Roman"/>
                <w:b/>
                <w:sz w:val="28"/>
                <w:szCs w:val="28"/>
              </w:rPr>
              <w:t>Техническая спецификация</w:t>
            </w:r>
          </w:p>
          <w:p w14:paraId="4C22538E" w14:textId="5ED9B36D" w:rsidR="00DF26F9" w:rsidRPr="00A473CB" w:rsidRDefault="00DF26F9" w:rsidP="00DF26F9">
            <w:pPr>
              <w:rPr>
                <w:rFonts w:ascii="Times New Roman" w:hAnsi="Times New Roman" w:cs="Times New Roman"/>
                <w:b/>
                <w:sz w:val="28"/>
                <w:szCs w:val="28"/>
              </w:rPr>
            </w:pPr>
          </w:p>
        </w:tc>
      </w:tr>
      <w:tr w:rsidR="00423080" w:rsidRPr="00423080" w14:paraId="6BF89009" w14:textId="77777777" w:rsidTr="00680823">
        <w:tc>
          <w:tcPr>
            <w:tcW w:w="568" w:type="dxa"/>
          </w:tcPr>
          <w:p w14:paraId="6D3BF224" w14:textId="699ED063" w:rsidR="00423080" w:rsidRPr="00BA2CE6" w:rsidRDefault="00F36E2B">
            <w:pP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678" w:type="dxa"/>
          </w:tcPr>
          <w:p w14:paraId="2FC5428B" w14:textId="77777777" w:rsidR="00423080" w:rsidRPr="00423080" w:rsidRDefault="005A3604">
            <w:pPr>
              <w:rPr>
                <w:rFonts w:ascii="Times New Roman" w:hAnsi="Times New Roman" w:cs="Times New Roman"/>
                <w:sz w:val="24"/>
                <w:szCs w:val="24"/>
              </w:rPr>
            </w:pPr>
            <w:r w:rsidRPr="005A3604">
              <w:rPr>
                <w:rFonts w:ascii="Times New Roman" w:hAnsi="Times New Roman" w:cs="Times New Roman"/>
                <w:sz w:val="24"/>
                <w:szCs w:val="24"/>
              </w:rPr>
              <w:t>Пробирки вакуумные не менее 5 мл 13х100 мм, с наполнителем</w:t>
            </w:r>
          </w:p>
        </w:tc>
        <w:tc>
          <w:tcPr>
            <w:tcW w:w="10064" w:type="dxa"/>
          </w:tcPr>
          <w:p w14:paraId="3D96A4E4" w14:textId="77777777" w:rsidR="005A3604" w:rsidRPr="005A3604" w:rsidRDefault="005A3604" w:rsidP="005A3604">
            <w:pPr>
              <w:rPr>
                <w:rFonts w:ascii="Times New Roman" w:hAnsi="Times New Roman" w:cs="Times New Roman"/>
                <w:sz w:val="24"/>
                <w:szCs w:val="24"/>
              </w:rPr>
            </w:pPr>
            <w:r w:rsidRPr="005A3604">
              <w:rPr>
                <w:rFonts w:ascii="Times New Roman" w:hAnsi="Times New Roman" w:cs="Times New Roman"/>
                <w:sz w:val="24"/>
                <w:szCs w:val="24"/>
              </w:rPr>
              <w:t>Вакуумная пробирка из полиэтилентерефталата (ПЭТФ).</w:t>
            </w:r>
          </w:p>
          <w:p w14:paraId="574082DD" w14:textId="77777777" w:rsidR="005A3604" w:rsidRPr="005A3604" w:rsidRDefault="005A3604" w:rsidP="005A3604">
            <w:pPr>
              <w:rPr>
                <w:rFonts w:ascii="Times New Roman" w:hAnsi="Times New Roman" w:cs="Times New Roman"/>
                <w:sz w:val="24"/>
                <w:szCs w:val="24"/>
              </w:rPr>
            </w:pPr>
            <w:r w:rsidRPr="005A3604">
              <w:rPr>
                <w:rFonts w:ascii="Times New Roman" w:hAnsi="Times New Roman" w:cs="Times New Roman"/>
                <w:sz w:val="24"/>
                <w:szCs w:val="24"/>
              </w:rPr>
              <w:t xml:space="preserve">Крышка пробирки: пластиковый колпачок крышки белого цвета, кольцо желтого цвета из полиэтилена, с вертикальными наружными бороздками; внутренняя пробка из </w:t>
            </w:r>
            <w:proofErr w:type="spellStart"/>
            <w:r w:rsidRPr="005A3604">
              <w:rPr>
                <w:rFonts w:ascii="Times New Roman" w:hAnsi="Times New Roman" w:cs="Times New Roman"/>
                <w:sz w:val="24"/>
                <w:szCs w:val="24"/>
              </w:rPr>
              <w:t>несмачиваемого</w:t>
            </w:r>
            <w:proofErr w:type="spellEnd"/>
            <w:r w:rsidRPr="005A3604">
              <w:rPr>
                <w:rFonts w:ascii="Times New Roman" w:hAnsi="Times New Roman" w:cs="Times New Roman"/>
                <w:sz w:val="24"/>
                <w:szCs w:val="24"/>
              </w:rPr>
              <w:t xml:space="preserve"> кровью </w:t>
            </w:r>
            <w:proofErr w:type="spellStart"/>
            <w:r w:rsidRPr="005A3604">
              <w:rPr>
                <w:rFonts w:ascii="Times New Roman" w:hAnsi="Times New Roman" w:cs="Times New Roman"/>
                <w:sz w:val="24"/>
                <w:szCs w:val="24"/>
              </w:rPr>
              <w:t>бромбутилкаучука</w:t>
            </w:r>
            <w:proofErr w:type="spellEnd"/>
            <w:r w:rsidRPr="005A3604">
              <w:rPr>
                <w:rFonts w:ascii="Times New Roman" w:hAnsi="Times New Roman" w:cs="Times New Roman"/>
                <w:sz w:val="24"/>
                <w:szCs w:val="24"/>
              </w:rPr>
              <w:t>.</w:t>
            </w:r>
          </w:p>
          <w:p w14:paraId="60E92F6D" w14:textId="77777777" w:rsidR="005A3604" w:rsidRPr="005A3604" w:rsidRDefault="005A3604" w:rsidP="005A3604">
            <w:pPr>
              <w:rPr>
                <w:rFonts w:ascii="Times New Roman" w:hAnsi="Times New Roman" w:cs="Times New Roman"/>
                <w:sz w:val="24"/>
                <w:szCs w:val="24"/>
              </w:rPr>
            </w:pPr>
            <w:r w:rsidRPr="005A3604">
              <w:rPr>
                <w:rFonts w:ascii="Times New Roman" w:hAnsi="Times New Roman" w:cs="Times New Roman"/>
                <w:sz w:val="24"/>
                <w:szCs w:val="24"/>
              </w:rPr>
              <w:t>- Конструкция крышки исключает самопроизвольное открывание при транспортировке и центрифугировании, обеспечивает возможность открытия крышки пробирки одной рукой.</w:t>
            </w:r>
          </w:p>
          <w:p w14:paraId="6CCD4BF3" w14:textId="77777777" w:rsidR="005A3604" w:rsidRPr="005A3604" w:rsidRDefault="005A3604" w:rsidP="005A3604">
            <w:pPr>
              <w:rPr>
                <w:rFonts w:ascii="Times New Roman" w:hAnsi="Times New Roman" w:cs="Times New Roman"/>
                <w:sz w:val="24"/>
                <w:szCs w:val="24"/>
              </w:rPr>
            </w:pPr>
            <w:r w:rsidRPr="005A3604">
              <w:rPr>
                <w:rFonts w:ascii="Times New Roman" w:hAnsi="Times New Roman" w:cs="Times New Roman"/>
                <w:sz w:val="24"/>
                <w:szCs w:val="24"/>
              </w:rPr>
              <w:t>- На внутренней стенке пробирки – сухой мелкодисперсный антикоагулянт – К2ЭДТА.</w:t>
            </w:r>
          </w:p>
          <w:p w14:paraId="1AE7A3F0" w14:textId="77777777" w:rsidR="005A3604" w:rsidRPr="005A3604" w:rsidRDefault="005A3604" w:rsidP="005A3604">
            <w:pPr>
              <w:rPr>
                <w:rFonts w:ascii="Times New Roman" w:hAnsi="Times New Roman" w:cs="Times New Roman"/>
                <w:sz w:val="24"/>
                <w:szCs w:val="24"/>
              </w:rPr>
            </w:pPr>
            <w:r w:rsidRPr="005A3604">
              <w:rPr>
                <w:rFonts w:ascii="Times New Roman" w:hAnsi="Times New Roman" w:cs="Times New Roman"/>
                <w:sz w:val="24"/>
                <w:szCs w:val="24"/>
              </w:rPr>
              <w:t xml:space="preserve">- На дне пробирки – разделительный гель – </w:t>
            </w:r>
            <w:proofErr w:type="spellStart"/>
            <w:r w:rsidRPr="005A3604">
              <w:rPr>
                <w:rFonts w:ascii="Times New Roman" w:hAnsi="Times New Roman" w:cs="Times New Roman"/>
                <w:sz w:val="24"/>
                <w:szCs w:val="24"/>
              </w:rPr>
              <w:t>олефинолигомер</w:t>
            </w:r>
            <w:proofErr w:type="spellEnd"/>
            <w:r w:rsidRPr="005A3604">
              <w:rPr>
                <w:rFonts w:ascii="Times New Roman" w:hAnsi="Times New Roman" w:cs="Times New Roman"/>
                <w:sz w:val="24"/>
                <w:szCs w:val="24"/>
              </w:rPr>
              <w:t>.</w:t>
            </w:r>
          </w:p>
          <w:p w14:paraId="4388EF00" w14:textId="77777777" w:rsidR="005A3604" w:rsidRPr="005A3604" w:rsidRDefault="005A3604" w:rsidP="005A3604">
            <w:pPr>
              <w:rPr>
                <w:rFonts w:ascii="Times New Roman" w:hAnsi="Times New Roman" w:cs="Times New Roman"/>
                <w:sz w:val="24"/>
                <w:szCs w:val="24"/>
              </w:rPr>
            </w:pPr>
            <w:r w:rsidRPr="005A3604">
              <w:rPr>
                <w:rFonts w:ascii="Times New Roman" w:hAnsi="Times New Roman" w:cs="Times New Roman"/>
                <w:sz w:val="24"/>
                <w:szCs w:val="24"/>
              </w:rPr>
              <w:t>- Этикетка пробирки бумажная, блочная с полями для внесения данных пациента, с горизонтальной фиолетовой полосой, логотипом производителя, отметкой уровня наполнения.</w:t>
            </w:r>
          </w:p>
          <w:p w14:paraId="7745B168" w14:textId="77777777" w:rsidR="005A3604" w:rsidRPr="005A3604" w:rsidRDefault="005A3604" w:rsidP="005A3604">
            <w:pPr>
              <w:rPr>
                <w:rFonts w:ascii="Times New Roman" w:hAnsi="Times New Roman" w:cs="Times New Roman"/>
                <w:sz w:val="24"/>
                <w:szCs w:val="24"/>
              </w:rPr>
            </w:pPr>
            <w:r w:rsidRPr="005A3604">
              <w:rPr>
                <w:rFonts w:ascii="Times New Roman" w:hAnsi="Times New Roman" w:cs="Times New Roman"/>
                <w:sz w:val="24"/>
                <w:szCs w:val="24"/>
              </w:rPr>
              <w:t xml:space="preserve">- Этикетка содержит информацию о: каталожном номере, номере лота, сроке годности, составе наполнителя (‘K2E K2EDTA </w:t>
            </w:r>
            <w:proofErr w:type="spellStart"/>
            <w:r w:rsidRPr="005A3604">
              <w:rPr>
                <w:rFonts w:ascii="Times New Roman" w:hAnsi="Times New Roman" w:cs="Times New Roman"/>
                <w:sz w:val="24"/>
                <w:szCs w:val="24"/>
              </w:rPr>
              <w:t>Sep</w:t>
            </w:r>
            <w:proofErr w:type="spellEnd"/>
            <w:r w:rsidRPr="005A3604">
              <w:rPr>
                <w:rFonts w:ascii="Times New Roman" w:hAnsi="Times New Roman" w:cs="Times New Roman"/>
                <w:sz w:val="24"/>
                <w:szCs w:val="24"/>
              </w:rPr>
              <w:t>’), объеме забираемой крови, стерильности и способе стерилизации (‘</w:t>
            </w:r>
            <w:proofErr w:type="spellStart"/>
            <w:r w:rsidRPr="005A3604">
              <w:rPr>
                <w:rFonts w:ascii="Times New Roman" w:hAnsi="Times New Roman" w:cs="Times New Roman"/>
                <w:sz w:val="24"/>
                <w:szCs w:val="24"/>
              </w:rPr>
              <w:t>sterile</w:t>
            </w:r>
            <w:proofErr w:type="spellEnd"/>
            <w:r w:rsidRPr="005A3604">
              <w:rPr>
                <w:rFonts w:ascii="Times New Roman" w:hAnsi="Times New Roman" w:cs="Times New Roman"/>
                <w:sz w:val="24"/>
                <w:szCs w:val="24"/>
              </w:rPr>
              <w:t>’, ‘R’-гамма излучение), однократности применения.</w:t>
            </w:r>
          </w:p>
          <w:p w14:paraId="47B3DDE3" w14:textId="77777777" w:rsidR="005A3604" w:rsidRPr="005A3604" w:rsidRDefault="005A3604" w:rsidP="005A3604">
            <w:pPr>
              <w:rPr>
                <w:rFonts w:ascii="Times New Roman" w:hAnsi="Times New Roman" w:cs="Times New Roman"/>
                <w:sz w:val="24"/>
                <w:szCs w:val="24"/>
              </w:rPr>
            </w:pPr>
            <w:r w:rsidRPr="005A3604">
              <w:rPr>
                <w:rFonts w:ascii="Times New Roman" w:hAnsi="Times New Roman" w:cs="Times New Roman"/>
                <w:sz w:val="24"/>
                <w:szCs w:val="24"/>
              </w:rPr>
              <w:t>- Температурный диапазон хранения от +4°C до +25°C.</w:t>
            </w:r>
          </w:p>
          <w:p w14:paraId="5A543816" w14:textId="77777777" w:rsidR="00423080" w:rsidRPr="00423080" w:rsidRDefault="005A3604" w:rsidP="005A3604">
            <w:pPr>
              <w:rPr>
                <w:rFonts w:ascii="Times New Roman" w:hAnsi="Times New Roman" w:cs="Times New Roman"/>
                <w:sz w:val="24"/>
                <w:szCs w:val="24"/>
              </w:rPr>
            </w:pPr>
            <w:r w:rsidRPr="005A3604">
              <w:rPr>
                <w:rFonts w:ascii="Times New Roman" w:hAnsi="Times New Roman" w:cs="Times New Roman"/>
                <w:sz w:val="24"/>
                <w:szCs w:val="24"/>
              </w:rPr>
              <w:t>- Объем забираемой крови не более 5,0 мл, размер пробирки не более 13х100 мм</w:t>
            </w:r>
          </w:p>
        </w:tc>
      </w:tr>
      <w:tr w:rsidR="00423080" w:rsidRPr="00423080" w14:paraId="16E69527" w14:textId="77777777" w:rsidTr="00680823">
        <w:tc>
          <w:tcPr>
            <w:tcW w:w="568" w:type="dxa"/>
          </w:tcPr>
          <w:p w14:paraId="39BAA6A0" w14:textId="12E17F02" w:rsidR="00423080" w:rsidRPr="00BA2CE6" w:rsidRDefault="00F36E2B">
            <w:pP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678" w:type="dxa"/>
          </w:tcPr>
          <w:p w14:paraId="48971D9E" w14:textId="77777777" w:rsidR="00423080" w:rsidRPr="00423080" w:rsidRDefault="005A3604">
            <w:pPr>
              <w:rPr>
                <w:rFonts w:ascii="Times New Roman" w:hAnsi="Times New Roman" w:cs="Times New Roman"/>
                <w:sz w:val="24"/>
                <w:szCs w:val="24"/>
              </w:rPr>
            </w:pPr>
            <w:r w:rsidRPr="005A3604">
              <w:rPr>
                <w:rFonts w:ascii="Times New Roman" w:hAnsi="Times New Roman" w:cs="Times New Roman"/>
                <w:sz w:val="24"/>
                <w:szCs w:val="24"/>
              </w:rPr>
              <w:t xml:space="preserve">Игла-бабочка </w:t>
            </w:r>
            <w:proofErr w:type="spellStart"/>
            <w:r w:rsidRPr="005A3604">
              <w:rPr>
                <w:rFonts w:ascii="Times New Roman" w:hAnsi="Times New Roman" w:cs="Times New Roman"/>
                <w:sz w:val="24"/>
                <w:szCs w:val="24"/>
              </w:rPr>
              <w:t>двустор.для</w:t>
            </w:r>
            <w:proofErr w:type="spellEnd"/>
            <w:r w:rsidRPr="005A3604">
              <w:rPr>
                <w:rFonts w:ascii="Times New Roman" w:hAnsi="Times New Roman" w:cs="Times New Roman"/>
                <w:sz w:val="24"/>
                <w:szCs w:val="24"/>
              </w:rPr>
              <w:t xml:space="preserve"> забора крови не менее 23G с присоединенным держателем к комплекте, цвет голубой</w:t>
            </w:r>
          </w:p>
        </w:tc>
        <w:tc>
          <w:tcPr>
            <w:tcW w:w="10064" w:type="dxa"/>
          </w:tcPr>
          <w:p w14:paraId="230701B8" w14:textId="77777777" w:rsidR="003F2EE7" w:rsidRDefault="003F2EE7">
            <w:pPr>
              <w:rPr>
                <w:rFonts w:ascii="Times New Roman" w:hAnsi="Times New Roman" w:cs="Times New Roman"/>
                <w:sz w:val="24"/>
                <w:szCs w:val="24"/>
              </w:rPr>
            </w:pPr>
            <w:r w:rsidRPr="003F2EE7">
              <w:rPr>
                <w:rFonts w:ascii="Times New Roman" w:hAnsi="Times New Roman" w:cs="Times New Roman"/>
                <w:sz w:val="24"/>
                <w:szCs w:val="24"/>
              </w:rPr>
              <w:t>Игла-бабочка система однократного применения с защитным механизмом для взятия крови из труднодоступных вен (у ребенка для ПЦР,ИФА), размер 23</w:t>
            </w:r>
            <w:r w:rsidRPr="003F2EE7">
              <w:rPr>
                <w:rFonts w:ascii="Times New Roman" w:hAnsi="Times New Roman" w:cs="Times New Roman"/>
                <w:sz w:val="24"/>
                <w:szCs w:val="24"/>
                <w:lang w:val="en-US"/>
              </w:rPr>
              <w:t>G</w:t>
            </w:r>
            <w:r w:rsidRPr="003F2EE7">
              <w:rPr>
                <w:rFonts w:ascii="Times New Roman" w:hAnsi="Times New Roman" w:cs="Times New Roman"/>
                <w:sz w:val="24"/>
                <w:szCs w:val="24"/>
              </w:rPr>
              <w:t xml:space="preserve">, 0.75, 7 (0,6*19мм, длина катетера 178 мм), с присоединенным  </w:t>
            </w:r>
            <w:proofErr w:type="spellStart"/>
            <w:r w:rsidRPr="003F2EE7">
              <w:rPr>
                <w:rFonts w:ascii="Times New Roman" w:hAnsi="Times New Roman" w:cs="Times New Roman"/>
                <w:sz w:val="24"/>
                <w:szCs w:val="24"/>
              </w:rPr>
              <w:t>люер</w:t>
            </w:r>
            <w:proofErr w:type="spellEnd"/>
            <w:r w:rsidRPr="003F2EE7">
              <w:rPr>
                <w:rFonts w:ascii="Times New Roman" w:hAnsi="Times New Roman" w:cs="Times New Roman"/>
                <w:sz w:val="24"/>
                <w:szCs w:val="24"/>
              </w:rPr>
              <w:t xml:space="preserve"> –адаптером в комплекте,  голубые  «крылышки»- подходят для детей.</w:t>
            </w:r>
          </w:p>
          <w:p w14:paraId="685819E7" w14:textId="43C977D5" w:rsidR="00DF26F9" w:rsidRPr="003F2EE7" w:rsidRDefault="00DF26F9">
            <w:pPr>
              <w:rPr>
                <w:rFonts w:ascii="Times New Roman" w:hAnsi="Times New Roman" w:cs="Times New Roman"/>
                <w:sz w:val="24"/>
                <w:szCs w:val="24"/>
              </w:rPr>
            </w:pPr>
          </w:p>
        </w:tc>
      </w:tr>
    </w:tbl>
    <w:p w14:paraId="5F62058B" w14:textId="77777777" w:rsidR="00902437" w:rsidRPr="00B557A4" w:rsidRDefault="00902437" w:rsidP="00902437">
      <w:pPr>
        <w:spacing w:line="240" w:lineRule="auto"/>
        <w:ind w:right="-31" w:firstLine="708"/>
        <w:jc w:val="both"/>
        <w:rPr>
          <w:rFonts w:ascii="Times New Roman" w:hAnsi="Times New Roman" w:cs="Times New Roman"/>
          <w:sz w:val="24"/>
          <w:szCs w:val="24"/>
        </w:rPr>
      </w:pPr>
      <w:r w:rsidRPr="00B557A4">
        <w:rPr>
          <w:rStyle w:val="s0"/>
          <w:sz w:val="24"/>
          <w:szCs w:val="24"/>
        </w:rPr>
        <w:t>К закупаемым изделиям медицинского назначения предъявляются следующие требования:</w:t>
      </w:r>
    </w:p>
    <w:p w14:paraId="4E7B991C" w14:textId="38C43F15" w:rsidR="00902437" w:rsidRDefault="00902437" w:rsidP="00902437">
      <w:pPr>
        <w:spacing w:line="240" w:lineRule="auto"/>
        <w:ind w:right="-31"/>
        <w:jc w:val="both"/>
        <w:rPr>
          <w:rStyle w:val="s0"/>
          <w:sz w:val="24"/>
          <w:szCs w:val="24"/>
        </w:rPr>
      </w:pPr>
      <w:r w:rsidRPr="00B557A4">
        <w:rPr>
          <w:rStyle w:val="s0"/>
          <w:sz w:val="24"/>
          <w:szCs w:val="24"/>
        </w:rPr>
        <w:t xml:space="preserve">1) изделия медицинского назначения,  должны быть зарегистрированы в Республике Казахстан и готовы к применению в соответствии с </w:t>
      </w:r>
      <w:hyperlink r:id="rId5" w:history="1">
        <w:r w:rsidRPr="00B557A4">
          <w:rPr>
            <w:rStyle w:val="a4"/>
            <w:rFonts w:ascii="Times New Roman" w:hAnsi="Times New Roman" w:cs="Times New Roman"/>
            <w:sz w:val="24"/>
            <w:szCs w:val="24"/>
          </w:rPr>
          <w:t>Кодексом</w:t>
        </w:r>
      </w:hyperlink>
      <w:r w:rsidRPr="00B557A4">
        <w:rPr>
          <w:rStyle w:val="s0"/>
          <w:sz w:val="24"/>
          <w:szCs w:val="24"/>
        </w:rPr>
        <w:t xml:space="preserve"> и порядком государственной регистрации изделий медицинского назначения, установленным уполномоченным органом в области здравоохранения, за исключением случаев закупа незарегистрированных в Республике Казахстан изделий медицинского назначения в особом порядке;</w:t>
      </w:r>
    </w:p>
    <w:p w14:paraId="34708A5B" w14:textId="77777777" w:rsidR="003D5136" w:rsidRPr="00B557A4" w:rsidRDefault="003D5136" w:rsidP="003D5136">
      <w:pPr>
        <w:spacing w:line="240" w:lineRule="auto"/>
        <w:ind w:right="-31"/>
        <w:jc w:val="both"/>
        <w:rPr>
          <w:rFonts w:ascii="Times New Roman" w:hAnsi="Times New Roman" w:cs="Times New Roman"/>
          <w:sz w:val="24"/>
          <w:szCs w:val="24"/>
        </w:rPr>
      </w:pPr>
      <w:r w:rsidRPr="00B557A4">
        <w:rPr>
          <w:rStyle w:val="s0"/>
          <w:sz w:val="24"/>
          <w:szCs w:val="24"/>
        </w:rPr>
        <w:lastRenderedPageBreak/>
        <w:t>2) изделия медицинского назначения, требующие хранения при низких температурах и защиты от замораживания, должны храниться и перевозиться в специальных емкостях для обеспечения сохранности от пункта погрузки до пункта конечного потребителя;</w:t>
      </w:r>
    </w:p>
    <w:p w14:paraId="5C788319" w14:textId="77777777" w:rsidR="003D5136" w:rsidRPr="00B557A4" w:rsidRDefault="003D5136" w:rsidP="003D5136">
      <w:pPr>
        <w:spacing w:line="240" w:lineRule="auto"/>
        <w:ind w:right="-31"/>
        <w:jc w:val="both"/>
        <w:rPr>
          <w:rFonts w:ascii="Times New Roman" w:hAnsi="Times New Roman" w:cs="Times New Roman"/>
          <w:sz w:val="24"/>
          <w:szCs w:val="24"/>
        </w:rPr>
      </w:pPr>
      <w:r w:rsidRPr="00B557A4">
        <w:rPr>
          <w:rStyle w:val="s0"/>
          <w:sz w:val="24"/>
          <w:szCs w:val="24"/>
        </w:rPr>
        <w:t xml:space="preserve">3) маркировка, потребительская упаковка и инструкция по применению изделий медицинского назначения должны соответствовать требованиям </w:t>
      </w:r>
      <w:hyperlink r:id="rId6" w:history="1">
        <w:r w:rsidRPr="00B557A4">
          <w:rPr>
            <w:rStyle w:val="a4"/>
            <w:rFonts w:ascii="Times New Roman" w:hAnsi="Times New Roman" w:cs="Times New Roman"/>
            <w:sz w:val="24"/>
            <w:szCs w:val="24"/>
          </w:rPr>
          <w:t>Кодекса</w:t>
        </w:r>
      </w:hyperlink>
      <w:r w:rsidRPr="00B557A4">
        <w:rPr>
          <w:rStyle w:val="s0"/>
          <w:sz w:val="24"/>
          <w:szCs w:val="24"/>
        </w:rPr>
        <w:t xml:space="preserve"> и порядка, установленного уполномоченным органом в области здравоохранения;</w:t>
      </w:r>
    </w:p>
    <w:p w14:paraId="164A3F36" w14:textId="77777777" w:rsidR="003D5136" w:rsidRPr="00B557A4" w:rsidRDefault="003D5136" w:rsidP="003D5136">
      <w:pPr>
        <w:spacing w:line="240" w:lineRule="auto"/>
        <w:ind w:right="-31"/>
        <w:jc w:val="both"/>
        <w:rPr>
          <w:rFonts w:ascii="Times New Roman" w:hAnsi="Times New Roman" w:cs="Times New Roman"/>
          <w:sz w:val="24"/>
          <w:szCs w:val="24"/>
        </w:rPr>
      </w:pPr>
      <w:r w:rsidRPr="00B557A4">
        <w:rPr>
          <w:rStyle w:val="s0"/>
          <w:sz w:val="24"/>
          <w:szCs w:val="24"/>
        </w:rPr>
        <w:t>4) остаточный срок годности на момент поставки для изделий медицинского назначения, имеющих общий срок годности менее двух лет, должен составлять не менее пятидесяти процентов от общего срока годности на момент поставки. Для изделий медицинского назначения со сроком годности не менее двух лет, остаточный срок годности которого должен составлять не менее двенадцати месяцев на момент поставки.</w:t>
      </w:r>
    </w:p>
    <w:p w14:paraId="3967A806" w14:textId="77777777" w:rsidR="003D5136" w:rsidRPr="00B557A4" w:rsidRDefault="003D5136" w:rsidP="003D5136">
      <w:pPr>
        <w:spacing w:line="240" w:lineRule="auto"/>
        <w:ind w:right="-31"/>
        <w:jc w:val="both"/>
        <w:rPr>
          <w:rFonts w:ascii="Times New Roman" w:hAnsi="Times New Roman" w:cs="Times New Roman"/>
          <w:sz w:val="24"/>
          <w:szCs w:val="24"/>
        </w:rPr>
      </w:pPr>
      <w:r w:rsidRPr="00B557A4">
        <w:rPr>
          <w:rFonts w:ascii="Times New Roman" w:hAnsi="Times New Roman" w:cs="Times New Roman"/>
          <w:sz w:val="24"/>
          <w:szCs w:val="24"/>
        </w:rPr>
        <w:t>Каждый комплект Товара должен быть снабжен комплектом технической и эксплуатационной документации с переводом содержания на государственном или русском языке. Комплект поставки описывается с указанием точных технических характеристик товаров и всей комплектации отдельно для каждого пункта (комплекта или единицы оборудования) данной таблицы. Доставку к рабочему месту, разгрузку, распаковку, установку, наладку и запуск приборов осуществляет поставщик.</w:t>
      </w:r>
    </w:p>
    <w:p w14:paraId="5BB4EB62" w14:textId="77777777" w:rsidR="003D5136" w:rsidRPr="00B557A4" w:rsidRDefault="003D5136" w:rsidP="00902437">
      <w:pPr>
        <w:spacing w:line="240" w:lineRule="auto"/>
        <w:ind w:right="-31"/>
        <w:jc w:val="both"/>
        <w:rPr>
          <w:rFonts w:ascii="Times New Roman" w:hAnsi="Times New Roman" w:cs="Times New Roman"/>
          <w:sz w:val="24"/>
          <w:szCs w:val="24"/>
        </w:rPr>
      </w:pPr>
    </w:p>
    <w:p w14:paraId="714724C9" w14:textId="1775F7E5" w:rsidR="00902437" w:rsidRPr="00B557A4" w:rsidRDefault="00902437" w:rsidP="00902437">
      <w:pPr>
        <w:spacing w:line="240" w:lineRule="auto"/>
        <w:ind w:right="-31"/>
        <w:jc w:val="both"/>
        <w:rPr>
          <w:rFonts w:ascii="Times New Roman" w:hAnsi="Times New Roman" w:cs="Times New Roman"/>
          <w:sz w:val="24"/>
          <w:szCs w:val="24"/>
        </w:rPr>
      </w:pPr>
    </w:p>
    <w:sectPr w:rsidR="00902437" w:rsidRPr="00B557A4" w:rsidSect="00423080">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7A76"/>
    <w:rsid w:val="000B5C06"/>
    <w:rsid w:val="00141FFC"/>
    <w:rsid w:val="001A2B7F"/>
    <w:rsid w:val="001C3AEE"/>
    <w:rsid w:val="00295AD8"/>
    <w:rsid w:val="002F612D"/>
    <w:rsid w:val="003A27B3"/>
    <w:rsid w:val="003D5136"/>
    <w:rsid w:val="003F2EE7"/>
    <w:rsid w:val="00423080"/>
    <w:rsid w:val="00473773"/>
    <w:rsid w:val="00492F13"/>
    <w:rsid w:val="005730A5"/>
    <w:rsid w:val="00580A12"/>
    <w:rsid w:val="005A3604"/>
    <w:rsid w:val="005A6AFD"/>
    <w:rsid w:val="005E2721"/>
    <w:rsid w:val="005F0E2C"/>
    <w:rsid w:val="00621794"/>
    <w:rsid w:val="00680823"/>
    <w:rsid w:val="0069079A"/>
    <w:rsid w:val="006C697D"/>
    <w:rsid w:val="007248D1"/>
    <w:rsid w:val="00746610"/>
    <w:rsid w:val="007D315F"/>
    <w:rsid w:val="00810167"/>
    <w:rsid w:val="00893CEC"/>
    <w:rsid w:val="008E5F17"/>
    <w:rsid w:val="00902437"/>
    <w:rsid w:val="009413D7"/>
    <w:rsid w:val="009F7125"/>
    <w:rsid w:val="00A408D8"/>
    <w:rsid w:val="00A473CB"/>
    <w:rsid w:val="00AA198E"/>
    <w:rsid w:val="00B557A4"/>
    <w:rsid w:val="00B86ED5"/>
    <w:rsid w:val="00BA2CE6"/>
    <w:rsid w:val="00BB12E7"/>
    <w:rsid w:val="00D27A76"/>
    <w:rsid w:val="00DE145E"/>
    <w:rsid w:val="00DF26F9"/>
    <w:rsid w:val="00E21B8C"/>
    <w:rsid w:val="00E8020E"/>
    <w:rsid w:val="00F36E2B"/>
    <w:rsid w:val="00F40C72"/>
    <w:rsid w:val="00FD11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B46DF"/>
  <w15:docId w15:val="{4F88DCE6-7630-4954-8D65-B4AE1C0B8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3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semiHidden/>
    <w:unhideWhenUsed/>
    <w:rsid w:val="00902437"/>
    <w:rPr>
      <w:color w:val="333399"/>
      <w:u w:val="single"/>
    </w:rPr>
  </w:style>
  <w:style w:type="character" w:customStyle="1" w:styleId="s0">
    <w:name w:val="s0"/>
    <w:rsid w:val="00902437"/>
    <w:rPr>
      <w:rFonts w:ascii="Times New Roman" w:hAnsi="Times New Roman" w:cs="Times New Roman" w:hint="default"/>
      <w:b w:val="0"/>
      <w:bCs w:val="0"/>
      <w:i w:val="0"/>
      <w:iCs w:val="0"/>
      <w:color w:val="000000"/>
    </w:rPr>
  </w:style>
  <w:style w:type="paragraph" w:styleId="a5">
    <w:name w:val="List Paragraph"/>
    <w:basedOn w:val="a"/>
    <w:uiPriority w:val="34"/>
    <w:qFormat/>
    <w:rsid w:val="003D51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44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online.zakon.kz/?m=ShowLink&amp;id=1001174830" TargetMode="External"/><Relationship Id="rId5" Type="http://schemas.openxmlformats.org/officeDocument/2006/relationships/hyperlink" Target="http://online.zakon.kz/?m=ShowLink&amp;id=100117483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C3E0C-E1F1-4133-8470-34D4581D8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2</Pages>
  <Words>528</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Асель Абылаева</dc:creator>
  <cp:keywords/>
  <dc:description/>
  <cp:lastModifiedBy>Айнур Омарова</cp:lastModifiedBy>
  <cp:revision>39</cp:revision>
  <cp:lastPrinted>2022-04-15T03:28:00Z</cp:lastPrinted>
  <dcterms:created xsi:type="dcterms:W3CDTF">2022-03-10T04:16:00Z</dcterms:created>
  <dcterms:modified xsi:type="dcterms:W3CDTF">2022-07-13T10:14:00Z</dcterms:modified>
</cp:coreProperties>
</file>